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6C" w:rsidRDefault="00C4796C" w:rsidP="00C4796C">
      <w:pPr>
        <w:spacing w:after="0" w:line="235" w:lineRule="atLeast"/>
        <w:jc w:val="center"/>
        <w:rPr>
          <w:rFonts w:ascii="Calibri" w:eastAsia="Times New Roman" w:hAnsi="Calibri" w:cs="Calibri"/>
          <w:b/>
          <w:bCs/>
          <w:color w:val="000000"/>
          <w:sz w:val="28"/>
          <w:szCs w:val="28"/>
          <w:u w:val="single"/>
          <w:lang w:val="es-ES" w:eastAsia="es-MX"/>
        </w:rPr>
      </w:pPr>
    </w:p>
    <w:p w:rsidR="00C4796C" w:rsidRPr="00C4796C" w:rsidRDefault="00C4796C" w:rsidP="00C4796C">
      <w:pPr>
        <w:spacing w:after="0" w:line="235" w:lineRule="atLeast"/>
        <w:jc w:val="center"/>
        <w:rPr>
          <w:rFonts w:ascii="Calibri" w:eastAsia="Times New Roman" w:hAnsi="Calibri" w:cs="Calibri"/>
          <w:color w:val="000000"/>
          <w:lang w:val="es-MX" w:eastAsia="es-MX"/>
        </w:rPr>
      </w:pPr>
      <w:r w:rsidRPr="00C4796C">
        <w:rPr>
          <w:rFonts w:ascii="Calibri" w:eastAsia="Times New Roman" w:hAnsi="Calibri" w:cs="Calibri"/>
          <w:b/>
          <w:bCs/>
          <w:color w:val="000000"/>
          <w:sz w:val="28"/>
          <w:szCs w:val="28"/>
          <w:u w:val="single"/>
          <w:lang w:val="es-ES" w:eastAsia="es-MX"/>
        </w:rPr>
        <w:t>FACTURACIÓN 101: Entendiendo las visitas de bienestar vs. las visitas orientadas a problemas</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lang w:val="es-ES" w:eastAsia="es-MX"/>
        </w:rPr>
        <w:t xml:space="preserve">Proporcionamos este documento para ayudarlo a comprender la diferencia entre lo que se cubre dentro de una visita de pozo y una visita orientada a problemas. Catawba </w:t>
      </w:r>
      <w:proofErr w:type="spellStart"/>
      <w:r w:rsidRPr="00C4796C">
        <w:rPr>
          <w:rFonts w:ascii="Calibri" w:eastAsia="Times New Roman" w:hAnsi="Calibri" w:cs="Calibri"/>
          <w:color w:val="000000"/>
          <w:lang w:val="es-ES" w:eastAsia="es-MX"/>
        </w:rPr>
        <w:t>Pediatrics</w:t>
      </w:r>
      <w:proofErr w:type="spellEnd"/>
      <w:r w:rsidRPr="00C4796C">
        <w:rPr>
          <w:rFonts w:ascii="Calibri" w:eastAsia="Times New Roman" w:hAnsi="Calibri" w:cs="Calibri"/>
          <w:color w:val="000000"/>
          <w:lang w:val="es-ES" w:eastAsia="es-MX"/>
        </w:rPr>
        <w:t xml:space="preserve"> recomienda visitas regulares de rutina, también conocidas como exámenes preventivos, exámenes físicos o chequeos del niño sano, según las pautas de la Academia Americana de Pediatría. Debido a los cambios recientes en la industria de seguros de salud, nuestro departamento de facturación recibe muchas llamadas de padres con preguntas sobre sus facturas y cargos incurridos durante estas visitas.</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b/>
          <w:bCs/>
          <w:color w:val="000000"/>
          <w:lang w:val="es-MX" w:eastAsia="es-MX"/>
        </w:rPr>
        <w:t>¡Conozca sus beneficios!</w:t>
      </w:r>
      <w:r w:rsidRPr="00C4796C">
        <w:rPr>
          <w:rFonts w:ascii="Calibri" w:eastAsia="Times New Roman" w:hAnsi="Calibri" w:cs="Calibri"/>
          <w:color w:val="000000"/>
          <w:lang w:val="es-ES" w:eastAsia="es-MX"/>
        </w:rPr>
        <w:t xml:space="preserve"> Es su responsabilidad conocer los detalles de su cobertura, a </w:t>
      </w:r>
      <w:proofErr w:type="gramStart"/>
      <w:r w:rsidRPr="00C4796C">
        <w:rPr>
          <w:rFonts w:ascii="Calibri" w:eastAsia="Times New Roman" w:hAnsi="Calibri" w:cs="Calibri"/>
          <w:color w:val="000000"/>
          <w:lang w:val="es-ES" w:eastAsia="es-MX"/>
        </w:rPr>
        <w:t>continuación</w:t>
      </w:r>
      <w:proofErr w:type="gramEnd"/>
      <w:r w:rsidRPr="00C4796C">
        <w:rPr>
          <w:rFonts w:ascii="Calibri" w:eastAsia="Times New Roman" w:hAnsi="Calibri" w:cs="Calibri"/>
          <w:color w:val="000000"/>
          <w:lang w:val="es-ES" w:eastAsia="es-MX"/>
        </w:rPr>
        <w:t xml:space="preserve"> hay información útil para ayudarlo a comprender su cobertura. Con cuentas con deducibles más altos y cuentas de ahorro para la salud, verifique su plan de seguro para obtener beneficios limitados</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b/>
          <w:bCs/>
          <w:color w:val="000000"/>
          <w:u w:val="single"/>
          <w:lang w:val="es-MX" w:eastAsia="es-MX"/>
        </w:rPr>
        <w:t>Detección:</w:t>
      </w:r>
      <w:r w:rsidRPr="00C4796C">
        <w:rPr>
          <w:rFonts w:ascii="Calibri" w:eastAsia="Times New Roman" w:hAnsi="Calibri" w:cs="Calibri"/>
          <w:color w:val="000000"/>
          <w:lang w:val="es-ES" w:eastAsia="es-MX"/>
        </w:rPr>
        <w:t xml:space="preserve"> Durante las visitas de rutina, realizamos evaluaciones recomendadas apropiadas para la edad y buscamos descubrir cualquier condición que pueda conducir a una salud </w:t>
      </w:r>
      <w:proofErr w:type="spellStart"/>
      <w:r w:rsidRPr="00C4796C">
        <w:rPr>
          <w:rFonts w:ascii="Calibri" w:eastAsia="Times New Roman" w:hAnsi="Calibri" w:cs="Calibri"/>
          <w:color w:val="000000"/>
          <w:lang w:val="es-ES" w:eastAsia="es-MX"/>
        </w:rPr>
        <w:t>subóptima</w:t>
      </w:r>
      <w:proofErr w:type="spellEnd"/>
      <w:r w:rsidRPr="00C4796C">
        <w:rPr>
          <w:rFonts w:ascii="Calibri" w:eastAsia="Times New Roman" w:hAnsi="Calibri" w:cs="Calibri"/>
          <w:color w:val="000000"/>
          <w:lang w:val="es-ES" w:eastAsia="es-MX"/>
        </w:rPr>
        <w:t xml:space="preserve"> en los próximos años. En nuestra experiencia, algunos planes de seguro cubren estas evaluaciones y otros no. Debido a que hay tantas compañías de seguros y planes diferentes, no sabemos de antemano qué estará y qué no estará cubierto. Es su responsabilidad entender qué servicios de detección están cubiertos por su plan de seguro. Los siguientes son exámenes que se pueden realizar: Cuestionario de </w:t>
      </w:r>
      <w:r w:rsidRPr="00C4796C">
        <w:rPr>
          <w:rFonts w:ascii="Calibri" w:eastAsia="Times New Roman" w:hAnsi="Calibri" w:cs="Calibri"/>
          <w:i/>
          <w:iCs/>
          <w:color w:val="000000"/>
          <w:lang w:val="es-ES" w:eastAsia="es-MX"/>
        </w:rPr>
        <w:t>edades y etapas, MCHAT (Lista de verificación modificada para el autismo en niños pequeños, Evaluación de audición y visión), PHQ-2 (Cuestionario de salud del paciente), Evaluación del comportamiento y Tratamiento con flúor</w:t>
      </w:r>
      <w:r w:rsidRPr="00C4796C">
        <w:rPr>
          <w:rFonts w:ascii="Calibri" w:eastAsia="Times New Roman" w:hAnsi="Calibri" w:cs="Calibri"/>
          <w:color w:val="000000"/>
          <w:lang w:val="es-ES" w:eastAsia="es-MX"/>
        </w:rPr>
        <w:t>.</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b/>
          <w:bCs/>
          <w:color w:val="000000"/>
          <w:u w:val="single"/>
          <w:lang w:val="es-MX" w:eastAsia="es-MX"/>
        </w:rPr>
        <w:t>Cobertura de seguro para visitas de rutina vs. visitas orientadas</w:t>
      </w:r>
      <w:r w:rsidRPr="00C4796C">
        <w:rPr>
          <w:rFonts w:ascii="Calibri" w:eastAsia="Times New Roman" w:hAnsi="Calibri" w:cs="Calibri"/>
          <w:b/>
          <w:bCs/>
          <w:color w:val="000000"/>
          <w:lang w:val="es-ES" w:eastAsia="es-MX"/>
        </w:rPr>
        <w:t> a problemas: </w:t>
      </w:r>
      <w:r w:rsidRPr="00C4796C">
        <w:rPr>
          <w:rFonts w:ascii="Calibri" w:eastAsia="Times New Roman" w:hAnsi="Calibri" w:cs="Calibri"/>
          <w:color w:val="000000"/>
          <w:lang w:val="es-ES" w:eastAsia="es-MX"/>
        </w:rPr>
        <w:t>Las visitas de rutina pueden descubrir o revisar problemas orientados a problemas que requieren</w:t>
      </w:r>
      <w:r w:rsidRPr="00C4796C">
        <w:rPr>
          <w:rFonts w:ascii="Calibri" w:eastAsia="Times New Roman" w:hAnsi="Calibri" w:cs="Calibri"/>
          <w:b/>
          <w:bCs/>
          <w:color w:val="000000"/>
          <w:lang w:val="es-ES" w:eastAsia="es-MX"/>
        </w:rPr>
        <w:t>-</w:t>
      </w:r>
      <w:r w:rsidRPr="00C4796C">
        <w:rPr>
          <w:rFonts w:ascii="Calibri" w:eastAsia="Times New Roman" w:hAnsi="Calibri" w:cs="Calibri"/>
          <w:color w:val="000000"/>
          <w:lang w:val="es-ES" w:eastAsia="es-MX"/>
        </w:rPr>
        <w:t xml:space="preserve"> evaluación o manejo (por ejemplo, infección de oído, problemas de TDAH, tratamientos para verrugas). Siempre que sea posible, preferimos abordar estas cuestiones orientadas a los problemas en la misma visita al consultorio. Esto también es una conveniencia adicional para que las familias no tengan que regresar a la clínica para otra cita. En cumplimiento con las políticas de facturación de las compañías de seguros, esto provoca cargos para ambas categorías. Si bien los servicios preventivos pueden no requerir un pago / deducible de policía, los servicios orientados a problemas sí provocan un copago / </w:t>
      </w:r>
      <w:proofErr w:type="spellStart"/>
      <w:r w:rsidRPr="00C4796C">
        <w:rPr>
          <w:rFonts w:ascii="Calibri" w:eastAsia="Times New Roman" w:hAnsi="Calibri" w:cs="Calibri"/>
          <w:color w:val="000000"/>
          <w:lang w:val="es-ES" w:eastAsia="es-MX"/>
        </w:rPr>
        <w:t>coseguro</w:t>
      </w:r>
      <w:proofErr w:type="spellEnd"/>
      <w:r w:rsidRPr="00C4796C">
        <w:rPr>
          <w:rFonts w:ascii="Calibri" w:eastAsia="Times New Roman" w:hAnsi="Calibri" w:cs="Calibri"/>
          <w:color w:val="000000"/>
          <w:lang w:val="es-ES" w:eastAsia="es-MX"/>
        </w:rPr>
        <w:t xml:space="preserve"> / deducible.</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ES" w:eastAsia="es-MX"/>
        </w:rPr>
      </w:pPr>
      <w:r w:rsidRPr="00C4796C">
        <w:rPr>
          <w:rFonts w:ascii="Calibri" w:eastAsia="Times New Roman" w:hAnsi="Calibri" w:cs="Calibri"/>
          <w:b/>
          <w:bCs/>
          <w:color w:val="000000"/>
          <w:u w:val="single"/>
          <w:lang w:val="es-MX" w:eastAsia="es-MX"/>
        </w:rPr>
        <w:t>Deducible:</w:t>
      </w:r>
      <w:r w:rsidRPr="00C4796C">
        <w:rPr>
          <w:rFonts w:ascii="Calibri" w:eastAsia="Times New Roman" w:hAnsi="Calibri" w:cs="Calibri"/>
          <w:b/>
          <w:bCs/>
          <w:color w:val="000000"/>
          <w:lang w:val="es-MX" w:eastAsia="es-MX"/>
        </w:rPr>
        <w:t> </w:t>
      </w:r>
      <w:r w:rsidRPr="00C4796C">
        <w:rPr>
          <w:rFonts w:ascii="Calibri" w:eastAsia="Times New Roman" w:hAnsi="Calibri" w:cs="Calibri"/>
          <w:color w:val="000000"/>
          <w:lang w:val="es-MX" w:eastAsia="es-MX"/>
        </w:rPr>
        <w:t>Su deducible es una cantidad específica de dinero que debe pagar antes de que una compañía de seguros pague un reclamo.</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lang w:val="es-ES" w:eastAsia="es-MX"/>
        </w:rPr>
        <w:t xml:space="preserve">Cualquier visita que no sea de niño sano está sujeta a su deducible y </w:t>
      </w:r>
      <w:proofErr w:type="spellStart"/>
      <w:r w:rsidRPr="00C4796C">
        <w:rPr>
          <w:rFonts w:ascii="Calibri" w:eastAsia="Times New Roman" w:hAnsi="Calibri" w:cs="Calibri"/>
          <w:color w:val="000000"/>
          <w:lang w:val="es-ES" w:eastAsia="es-MX"/>
        </w:rPr>
        <w:t>coseguro</w:t>
      </w:r>
      <w:proofErr w:type="spellEnd"/>
      <w:r w:rsidRPr="00C4796C">
        <w:rPr>
          <w:rFonts w:ascii="Calibri" w:eastAsia="Times New Roman" w:hAnsi="Calibri" w:cs="Calibri"/>
          <w:color w:val="000000"/>
          <w:lang w:val="es-ES" w:eastAsia="es-MX"/>
        </w:rPr>
        <w:t>.</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ES" w:eastAsia="es-MX"/>
        </w:rPr>
      </w:pPr>
      <w:r w:rsidRPr="00C4796C">
        <w:rPr>
          <w:rFonts w:ascii="Calibri" w:eastAsia="Times New Roman" w:hAnsi="Calibri" w:cs="Calibri"/>
          <w:b/>
          <w:bCs/>
          <w:color w:val="000000"/>
          <w:u w:val="single"/>
          <w:lang w:val="es-MX" w:eastAsia="es-MX"/>
        </w:rPr>
        <w:t>Coaseguro:</w:t>
      </w:r>
      <w:r w:rsidRPr="00C4796C">
        <w:rPr>
          <w:rFonts w:ascii="Calibri" w:eastAsia="Times New Roman" w:hAnsi="Calibri" w:cs="Calibri"/>
          <w:b/>
          <w:bCs/>
          <w:color w:val="000000"/>
          <w:lang w:val="es-MX" w:eastAsia="es-MX"/>
        </w:rPr>
        <w:t> </w:t>
      </w:r>
      <w:r w:rsidRPr="00C4796C">
        <w:rPr>
          <w:rFonts w:ascii="Calibri" w:eastAsia="Times New Roman" w:hAnsi="Calibri" w:cs="Calibri"/>
          <w:color w:val="000000"/>
          <w:lang w:val="es-MX" w:eastAsia="es-MX"/>
        </w:rPr>
        <w:t>Es un tipo de seguro en el que el asegurado paga una parte del pago realizado contra un siniestro.</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ES" w:eastAsia="es-MX"/>
        </w:rPr>
      </w:pPr>
      <w:r w:rsidRPr="00C4796C">
        <w:rPr>
          <w:rFonts w:ascii="Calibri" w:eastAsia="Times New Roman" w:hAnsi="Calibri" w:cs="Calibri"/>
          <w:b/>
          <w:bCs/>
          <w:color w:val="000000"/>
          <w:u w:val="single"/>
          <w:lang w:val="es-MX" w:eastAsia="es-MX"/>
        </w:rPr>
        <w:t>Copago:</w:t>
      </w:r>
      <w:r w:rsidRPr="00C4796C">
        <w:rPr>
          <w:rFonts w:ascii="Calibri" w:eastAsia="Times New Roman" w:hAnsi="Calibri" w:cs="Calibri"/>
          <w:b/>
          <w:bCs/>
          <w:color w:val="000000"/>
          <w:lang w:val="es-MX" w:eastAsia="es-MX"/>
        </w:rPr>
        <w:t> </w:t>
      </w:r>
      <w:r w:rsidRPr="00C4796C">
        <w:rPr>
          <w:rFonts w:ascii="Calibri" w:eastAsia="Times New Roman" w:hAnsi="Calibri" w:cs="Calibri"/>
          <w:color w:val="000000"/>
          <w:lang w:val="es-MX" w:eastAsia="es-MX"/>
        </w:rPr>
        <w:t>Una cantidad fija que usted paga por un servicio de atención médica cubierto y después de haber alcanzado su deducible.</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ES" w:eastAsia="es-MX"/>
        </w:rPr>
      </w:pPr>
      <w:r w:rsidRPr="00C4796C">
        <w:rPr>
          <w:rFonts w:ascii="Calibri" w:eastAsia="Times New Roman" w:hAnsi="Calibri" w:cs="Calibri"/>
          <w:b/>
          <w:bCs/>
          <w:color w:val="000000"/>
          <w:u w:val="single"/>
          <w:lang w:val="es-MX" w:eastAsia="es-MX"/>
        </w:rPr>
        <w:t>Servicios no cubiertos</w:t>
      </w:r>
      <w:r w:rsidRPr="00C4796C">
        <w:rPr>
          <w:rFonts w:ascii="Calibri" w:eastAsia="Times New Roman" w:hAnsi="Calibri" w:cs="Calibri"/>
          <w:color w:val="000000"/>
          <w:u w:val="single"/>
          <w:lang w:val="es-MX" w:eastAsia="es-MX"/>
        </w:rPr>
        <w:t>:</w:t>
      </w:r>
      <w:r w:rsidRPr="00C4796C">
        <w:rPr>
          <w:rFonts w:ascii="Calibri" w:eastAsia="Times New Roman" w:hAnsi="Calibri" w:cs="Calibri"/>
          <w:color w:val="000000"/>
          <w:lang w:val="es-MX" w:eastAsia="es-MX"/>
        </w:rPr>
        <w:t> Servicios comunes no cubiertos por su seguro, como cera del oído o eliminación de verrugas.</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b/>
          <w:bCs/>
          <w:color w:val="000000"/>
          <w:u w:val="single"/>
          <w:lang w:val="es-MX" w:eastAsia="es-MX"/>
        </w:rPr>
        <w:t>Cargos fuera de horario / fines de</w:t>
      </w:r>
      <w:r w:rsidRPr="00C4796C">
        <w:rPr>
          <w:rFonts w:ascii="Calibri" w:eastAsia="Times New Roman" w:hAnsi="Calibri" w:cs="Calibri"/>
          <w:color w:val="000000"/>
          <w:lang w:val="es-ES" w:eastAsia="es-MX"/>
        </w:rPr>
        <w:t> semana</w:t>
      </w:r>
      <w:r w:rsidRPr="00C4796C">
        <w:rPr>
          <w:rFonts w:ascii="Calibri" w:eastAsia="Times New Roman" w:hAnsi="Calibri" w:cs="Calibri"/>
          <w:color w:val="000000"/>
          <w:u w:val="single"/>
          <w:lang w:val="es-MX" w:eastAsia="es-MX"/>
        </w:rPr>
        <w:t>:</w:t>
      </w:r>
      <w:r w:rsidRPr="00C4796C">
        <w:rPr>
          <w:rFonts w:ascii="Calibri" w:eastAsia="Times New Roman" w:hAnsi="Calibri" w:cs="Calibri"/>
          <w:color w:val="000000"/>
          <w:lang w:val="es-ES" w:eastAsia="es-MX"/>
        </w:rPr>
        <w:t> Tenga en cuenta que cobramos una tarifa por nuestros servicios los fines de semana y días festivos. Estas tarifas pueden no estar cubiertas por su compañía de seguros.</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16"/>
          <w:szCs w:val="16"/>
          <w:lang w:val="es-MX" w:eastAsia="es-MX"/>
        </w:rPr>
        <w:t> </w:t>
      </w:r>
    </w:p>
    <w:p w:rsidR="00C4796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lang w:val="es-ES" w:eastAsia="es-MX"/>
        </w:rPr>
        <w:t>Presentamos reclamos con todos los seguros con los que estamos en red. Estaremos encantados de presentar reclamos como cortesía a cualquier seguro, incluso si no estamos en su red. Si tiene alguna pregunta sobre si estamos en red con su plan de seguro, comuníquese con su compañía de seguros. Si necesita más explicaciones sobre cómo incurrir en cargos adicionales por los servicios prestados durante su visita, hable con un miembro de nuestra oficina comercial.</w:t>
      </w:r>
    </w:p>
    <w:p w:rsidR="0073500C" w:rsidRPr="00C4796C" w:rsidRDefault="00C4796C" w:rsidP="00C4796C">
      <w:pPr>
        <w:spacing w:after="0" w:line="235" w:lineRule="atLeast"/>
        <w:rPr>
          <w:rFonts w:ascii="Calibri" w:eastAsia="Times New Roman" w:hAnsi="Calibri" w:cs="Calibri"/>
          <w:color w:val="000000"/>
          <w:lang w:val="es-MX" w:eastAsia="es-MX"/>
        </w:rPr>
      </w:pPr>
      <w:r w:rsidRPr="00C4796C">
        <w:rPr>
          <w:rFonts w:ascii="Calibri" w:eastAsia="Times New Roman" w:hAnsi="Calibri" w:cs="Calibri"/>
          <w:color w:val="000000"/>
          <w:sz w:val="20"/>
          <w:szCs w:val="20"/>
          <w:lang w:val="es-MX" w:eastAsia="es-MX"/>
        </w:rPr>
        <w:t> </w:t>
      </w:r>
      <w:bookmarkStart w:id="0" w:name="_GoBack"/>
      <w:bookmarkEnd w:id="0"/>
    </w:p>
    <w:sectPr w:rsidR="0073500C" w:rsidRPr="00C4796C" w:rsidSect="000518E4">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95" w:rsidRDefault="007A3495" w:rsidP="00263D09">
      <w:pPr>
        <w:spacing w:after="0" w:line="240" w:lineRule="auto"/>
      </w:pPr>
      <w:r>
        <w:separator/>
      </w:r>
    </w:p>
  </w:endnote>
  <w:endnote w:type="continuationSeparator" w:id="0">
    <w:p w:rsidR="007A3495" w:rsidRDefault="007A3495" w:rsidP="0026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95" w:rsidRDefault="007A3495" w:rsidP="00263D09">
      <w:pPr>
        <w:spacing w:after="0" w:line="240" w:lineRule="auto"/>
      </w:pPr>
      <w:r>
        <w:separator/>
      </w:r>
    </w:p>
  </w:footnote>
  <w:footnote w:type="continuationSeparator" w:id="0">
    <w:p w:rsidR="007A3495" w:rsidRDefault="007A3495" w:rsidP="0026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09" w:rsidRDefault="00263D09" w:rsidP="00F85473">
    <w:pPr>
      <w:pStyle w:val="Header"/>
      <w:tabs>
        <w:tab w:val="clear" w:pos="9360"/>
        <w:tab w:val="left" w:pos="9735"/>
      </w:tabs>
    </w:pPr>
    <w:r>
      <w:rPr>
        <w:rFonts w:ascii="Calibri" w:hAnsi="Calibri"/>
        <w:noProof/>
      </w:rPr>
      <w:ptab w:relativeTo="margin" w:alignment="center" w:leader="none"/>
    </w:r>
    <w:r>
      <w:rPr>
        <w:rFonts w:ascii="Calibri" w:hAnsi="Calibri"/>
        <w:noProof/>
        <w:lang w:val="es-MX" w:eastAsia="es-MX"/>
      </w:rPr>
      <w:drawing>
        <wp:inline distT="0" distB="0" distL="0" distR="0" wp14:anchorId="047A67B6" wp14:editId="66E9524F">
          <wp:extent cx="22574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a:noFill/>
                  </a:ln>
                </pic:spPr>
              </pic:pic>
            </a:graphicData>
          </a:graphic>
        </wp:inline>
      </w:drawing>
    </w:r>
    <w:r w:rsidR="00F85473">
      <w:rPr>
        <w:rFonts w:ascii="Calibri" w:hAnsi="Calibri"/>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E85"/>
    <w:multiLevelType w:val="multilevel"/>
    <w:tmpl w:val="25BE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B5084"/>
    <w:multiLevelType w:val="multilevel"/>
    <w:tmpl w:val="5556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B2D1C"/>
    <w:multiLevelType w:val="hybridMultilevel"/>
    <w:tmpl w:val="CD5CCCF2"/>
    <w:lvl w:ilvl="0" w:tplc="6074BF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3FE7"/>
    <w:multiLevelType w:val="hybridMultilevel"/>
    <w:tmpl w:val="8E0C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221D2"/>
    <w:multiLevelType w:val="multilevel"/>
    <w:tmpl w:val="600C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751FBD"/>
    <w:multiLevelType w:val="multilevel"/>
    <w:tmpl w:val="9E2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AD2A7D"/>
    <w:multiLevelType w:val="hybridMultilevel"/>
    <w:tmpl w:val="20A00882"/>
    <w:lvl w:ilvl="0" w:tplc="D3A05B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09"/>
    <w:rsid w:val="000518E4"/>
    <w:rsid w:val="00074B61"/>
    <w:rsid w:val="00240CC3"/>
    <w:rsid w:val="00263D09"/>
    <w:rsid w:val="003D3EA5"/>
    <w:rsid w:val="0040375E"/>
    <w:rsid w:val="0060224C"/>
    <w:rsid w:val="00647601"/>
    <w:rsid w:val="0073500C"/>
    <w:rsid w:val="007A3495"/>
    <w:rsid w:val="008F3710"/>
    <w:rsid w:val="00953740"/>
    <w:rsid w:val="009971E8"/>
    <w:rsid w:val="009A2083"/>
    <w:rsid w:val="00C0518A"/>
    <w:rsid w:val="00C4796C"/>
    <w:rsid w:val="00C9188E"/>
    <w:rsid w:val="00E177CF"/>
    <w:rsid w:val="00E64CEB"/>
    <w:rsid w:val="00E92A7A"/>
    <w:rsid w:val="00EC6EF3"/>
    <w:rsid w:val="00F36AAE"/>
    <w:rsid w:val="00F85473"/>
    <w:rsid w:val="00FD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5E7E4"/>
  <w15:chartTrackingRefBased/>
  <w15:docId w15:val="{713AD314-5613-48F8-B94E-1ED9A7A4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D09"/>
    <w:rPr>
      <w:color w:val="0563C1" w:themeColor="hyperlink"/>
      <w:u w:val="single"/>
    </w:rPr>
  </w:style>
  <w:style w:type="paragraph" w:styleId="Header">
    <w:name w:val="header"/>
    <w:basedOn w:val="Normal"/>
    <w:link w:val="HeaderChar"/>
    <w:uiPriority w:val="99"/>
    <w:unhideWhenUsed/>
    <w:rsid w:val="0026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D09"/>
  </w:style>
  <w:style w:type="paragraph" w:styleId="Footer">
    <w:name w:val="footer"/>
    <w:basedOn w:val="Normal"/>
    <w:link w:val="FooterChar"/>
    <w:uiPriority w:val="99"/>
    <w:unhideWhenUsed/>
    <w:rsid w:val="0026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09"/>
  </w:style>
  <w:style w:type="paragraph" w:styleId="ListParagraph">
    <w:name w:val="List Paragraph"/>
    <w:basedOn w:val="Normal"/>
    <w:uiPriority w:val="34"/>
    <w:qFormat/>
    <w:rsid w:val="00C9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8538">
      <w:bodyDiv w:val="1"/>
      <w:marLeft w:val="0"/>
      <w:marRight w:val="0"/>
      <w:marTop w:val="0"/>
      <w:marBottom w:val="0"/>
      <w:divBdr>
        <w:top w:val="none" w:sz="0" w:space="0" w:color="auto"/>
        <w:left w:val="none" w:sz="0" w:space="0" w:color="auto"/>
        <w:bottom w:val="none" w:sz="0" w:space="0" w:color="auto"/>
        <w:right w:val="none" w:sz="0" w:space="0" w:color="auto"/>
      </w:divBdr>
    </w:div>
    <w:div w:id="1693725219">
      <w:bodyDiv w:val="1"/>
      <w:marLeft w:val="0"/>
      <w:marRight w:val="0"/>
      <w:marTop w:val="0"/>
      <w:marBottom w:val="0"/>
      <w:divBdr>
        <w:top w:val="none" w:sz="0" w:space="0" w:color="auto"/>
        <w:left w:val="none" w:sz="0" w:space="0" w:color="auto"/>
        <w:bottom w:val="none" w:sz="0" w:space="0" w:color="auto"/>
        <w:right w:val="none" w:sz="0" w:space="0" w:color="auto"/>
      </w:divBdr>
    </w:div>
    <w:div w:id="1919052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D110-9F08-441F-B8B7-B87F984F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Story</dc:creator>
  <cp:keywords/>
  <dc:description/>
  <cp:lastModifiedBy> </cp:lastModifiedBy>
  <cp:revision>2</cp:revision>
  <dcterms:created xsi:type="dcterms:W3CDTF">2023-07-03T16:20:00Z</dcterms:created>
  <dcterms:modified xsi:type="dcterms:W3CDTF">2023-07-03T16:20:00Z</dcterms:modified>
</cp:coreProperties>
</file>